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2E1" w:rsidRPr="008E62E1" w:rsidRDefault="008E62E1" w:rsidP="008E62E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62E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Spark Rating Maintenance Application Review</w:t>
      </w:r>
    </w:p>
    <w:p w:rsidR="008E62E1" w:rsidRPr="008E62E1" w:rsidRDefault="008E62E1" w:rsidP="008E62E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62E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Principles and Overview of Procedures</w:t>
      </w:r>
    </w:p>
    <w:p w:rsidR="00675F16" w:rsidRPr="00675F16" w:rsidRDefault="008E62E1" w:rsidP="00675F16">
      <w:pPr>
        <w:pStyle w:val="ListParagraph"/>
        <w:numPr>
          <w:ilvl w:val="0"/>
          <w:numId w:val="19"/>
        </w:numPr>
        <w:spacing w:after="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75F16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Statement of Intent:</w:t>
      </w:r>
      <w:r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8E62E1" w:rsidRPr="008E62E1" w:rsidRDefault="008E62E1" w:rsidP="00675F16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To provide a transparent, fair, and supportive process for Spark star rated Early Learning Programs (ELP’s) to maintain their Spark Star Rating after a serious valid finding of a licensing violation as reported by the Office of Child Care. All eligible Spark star rated programs will have the opportunity to participate in this process.</w:t>
      </w:r>
    </w:p>
    <w:p w:rsidR="008E62E1" w:rsidRDefault="008E62E1" w:rsidP="00675F16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This process will help to maintain the integrity of the Spark system as representing programs of high quality and supporting programs in their CQI efforts.</w:t>
      </w:r>
    </w:p>
    <w:p w:rsidR="006E342E" w:rsidRPr="008E62E1" w:rsidRDefault="006E342E" w:rsidP="006E342E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8E62E1" w:rsidRPr="008E62E1" w:rsidRDefault="008E62E1" w:rsidP="00675F16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Why this process exists:</w:t>
      </w:r>
    </w:p>
    <w:p w:rsidR="008E62E1" w:rsidRPr="00675F16" w:rsidRDefault="008E62E1" w:rsidP="00675F16">
      <w:pPr>
        <w:pStyle w:val="ListParagraph"/>
        <w:numPr>
          <w:ilvl w:val="1"/>
          <w:numId w:val="18"/>
        </w:numPr>
        <w:tabs>
          <w:tab w:val="left" w:pos="720"/>
        </w:tabs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75F16">
        <w:rPr>
          <w:rFonts w:ascii="Calibri" w:eastAsia="Times New Roman" w:hAnsi="Calibri" w:cs="Calibri"/>
          <w:color w:val="000000"/>
          <w:sz w:val="24"/>
          <w:szCs w:val="24"/>
        </w:rPr>
        <w:t>Spark star rated programs that complete a Spark Rating Maintenance Application w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</w:rPr>
        <w:t>hich</w:t>
      </w:r>
      <w:r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</w:rPr>
        <w:t>facilitates participation</w:t>
      </w:r>
      <w:r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in Continuous Quality Improvement (CQI) as part of the 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process of completing the </w:t>
      </w:r>
      <w:r w:rsidRPr="00675F16">
        <w:rPr>
          <w:rFonts w:ascii="Calibri" w:eastAsia="Times New Roman" w:hAnsi="Calibri" w:cs="Calibri"/>
          <w:color w:val="000000"/>
          <w:sz w:val="24"/>
          <w:szCs w:val="24"/>
        </w:rPr>
        <w:t>application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</w:rPr>
        <w:t>. This</w:t>
      </w:r>
      <w:r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will connect the program with resources to help them identify the causes of the violation and create a plan for prevention of future violations. </w:t>
      </w:r>
    </w:p>
    <w:p w:rsidR="008E62E1" w:rsidRPr="008E62E1" w:rsidRDefault="00675F16" w:rsidP="006E342E">
      <w:pPr>
        <w:numPr>
          <w:ilvl w:val="2"/>
          <w:numId w:val="21"/>
        </w:numPr>
        <w:tabs>
          <w:tab w:val="clear" w:pos="2160"/>
        </w:tabs>
        <w:spacing w:after="0" w:line="240" w:lineRule="auto"/>
        <w:ind w:left="117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There </w:t>
      </w:r>
      <w:r w:rsidR="008E62E1" w:rsidRPr="008E62E1">
        <w:rPr>
          <w:rFonts w:ascii="Calibri" w:eastAsia="Times New Roman" w:hAnsi="Calibri" w:cs="Calibri"/>
          <w:color w:val="000000"/>
          <w:sz w:val="24"/>
          <w:szCs w:val="24"/>
        </w:rPr>
        <w:t>is no category of violation that will exclude a program from this process.</w:t>
      </w:r>
    </w:p>
    <w:p w:rsidR="008E62E1" w:rsidRPr="008E62E1" w:rsidRDefault="008E62E1" w:rsidP="006E342E">
      <w:pPr>
        <w:numPr>
          <w:ilvl w:val="2"/>
          <w:numId w:val="21"/>
        </w:numPr>
        <w:tabs>
          <w:tab w:val="clear" w:pos="2160"/>
        </w:tabs>
        <w:spacing w:after="0" w:line="240" w:lineRule="auto"/>
        <w:ind w:left="117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Programs are offered this opportunity once every 12/24 months depending on star level.</w:t>
      </w:r>
      <w:r w:rsid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 xml:space="preserve">The rating maintenance review </w:t>
      </w:r>
      <w:r w:rsidR="009B3E36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 xml:space="preserve">will be offered 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>for up to 2 violations if TRI is notified of th</w:t>
      </w:r>
      <w:r w:rsidR="009B3E36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>e violations</w:t>
      </w:r>
      <w:r w:rsidR="00675F16" w:rsidRPr="00675F16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 xml:space="preserve"> at the same time.</w:t>
      </w:r>
      <w:r w:rsidR="00675F1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8E62E1" w:rsidRPr="008E62E1" w:rsidRDefault="008E62E1" w:rsidP="006E342E">
      <w:pPr>
        <w:numPr>
          <w:ilvl w:val="2"/>
          <w:numId w:val="21"/>
        </w:numPr>
        <w:tabs>
          <w:tab w:val="clear" w:pos="2160"/>
        </w:tabs>
        <w:spacing w:after="0" w:line="240" w:lineRule="auto"/>
        <w:ind w:left="117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Programs whose Spark Rating Maintenance Application is approved will maintain their rating. Programs whose application is not approved will have the rating revoked.</w:t>
      </w:r>
    </w:p>
    <w:p w:rsidR="008E62E1" w:rsidRPr="00675F16" w:rsidRDefault="008E62E1" w:rsidP="00675F16">
      <w:pPr>
        <w:pStyle w:val="ListParagraph"/>
        <w:numPr>
          <w:ilvl w:val="1"/>
          <w:numId w:val="18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75F16">
        <w:rPr>
          <w:rFonts w:ascii="Calibri" w:eastAsia="Times New Roman" w:hAnsi="Calibri" w:cs="Calibri"/>
          <w:color w:val="000000"/>
          <w:sz w:val="24"/>
          <w:szCs w:val="24"/>
        </w:rPr>
        <w:t xml:space="preserve">This process will help to maintain the integrity of the Spark system as representing programs of high quality and supporting programs in their </w:t>
      </w:r>
      <w:proofErr w:type="gramStart"/>
      <w:r w:rsidRPr="00675F16">
        <w:rPr>
          <w:rFonts w:ascii="Calibri" w:eastAsia="Times New Roman" w:hAnsi="Calibri" w:cs="Calibri"/>
          <w:color w:val="000000"/>
          <w:sz w:val="24"/>
          <w:szCs w:val="24"/>
        </w:rPr>
        <w:t>CQI  efforts</w:t>
      </w:r>
      <w:proofErr w:type="gramEnd"/>
      <w:r w:rsidRPr="00675F16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8E62E1" w:rsidRPr="008E62E1" w:rsidRDefault="008E62E1" w:rsidP="008E62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62E1" w:rsidRPr="008E62E1" w:rsidRDefault="008E62E1" w:rsidP="006E342E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hanging="72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Who this process is for:</w:t>
      </w:r>
    </w:p>
    <w:p w:rsidR="008E62E1" w:rsidRPr="006E342E" w:rsidRDefault="008E62E1" w:rsidP="006E342E">
      <w:pPr>
        <w:pStyle w:val="ListParagraph"/>
        <w:numPr>
          <w:ilvl w:val="3"/>
          <w:numId w:val="21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Star rated Spark programs </w:t>
      </w:r>
    </w:p>
    <w:p w:rsidR="008E62E1" w:rsidRPr="006E342E" w:rsidRDefault="008E62E1" w:rsidP="006E342E">
      <w:pPr>
        <w:pStyle w:val="ListParagraph"/>
        <w:numPr>
          <w:ilvl w:val="1"/>
          <w:numId w:val="5"/>
        </w:numPr>
        <w:tabs>
          <w:tab w:val="clear" w:pos="1440"/>
          <w:tab w:val="num" w:pos="117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To provide a collaborative process to identify the cause of, correct, and prevent future licensing violations and maintain star ratings when appropriate. </w:t>
      </w:r>
    </w:p>
    <w:p w:rsidR="006E342E" w:rsidRDefault="008E62E1" w:rsidP="006E342E">
      <w:pPr>
        <w:pStyle w:val="ListParagraph"/>
        <w:numPr>
          <w:ilvl w:val="3"/>
          <w:numId w:val="21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Families </w:t>
      </w:r>
    </w:p>
    <w:p w:rsidR="008E62E1" w:rsidRPr="006E342E" w:rsidRDefault="008E62E1" w:rsidP="006E342E">
      <w:pPr>
        <w:pStyle w:val="ListParagraph"/>
        <w:numPr>
          <w:ilvl w:val="2"/>
          <w:numId w:val="5"/>
        </w:numPr>
        <w:tabs>
          <w:tab w:val="clear" w:pos="216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To have confidence in using Spark ratings as a reliable indicator of high quality.</w:t>
      </w:r>
    </w:p>
    <w:p w:rsidR="008E62E1" w:rsidRPr="008E62E1" w:rsidRDefault="008E62E1" w:rsidP="008E62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62E1" w:rsidRPr="008E62E1" w:rsidRDefault="008E62E1" w:rsidP="006E342E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Guiding Principles</w:t>
      </w:r>
    </w:p>
    <w:p w:rsidR="008E62E1" w:rsidRPr="006E342E" w:rsidRDefault="008E62E1" w:rsidP="006E342E">
      <w:pPr>
        <w:pStyle w:val="ListParagraph"/>
        <w:numPr>
          <w:ilvl w:val="3"/>
          <w:numId w:val="5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Transparency</w:t>
      </w:r>
    </w:p>
    <w:p w:rsidR="008E62E1" w:rsidRPr="006E342E" w:rsidRDefault="008E62E1" w:rsidP="006E342E">
      <w:pPr>
        <w:pStyle w:val="ListParagraph"/>
        <w:numPr>
          <w:ilvl w:val="3"/>
          <w:numId w:val="11"/>
        </w:numPr>
        <w:tabs>
          <w:tab w:val="clear" w:pos="2880"/>
          <w:tab w:val="num" w:pos="252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 xml:space="preserve">All aspects of the process are in </w:t>
      </w:r>
      <w:proofErr w:type="gramStart"/>
      <w:r w:rsidRPr="006E342E">
        <w:rPr>
          <w:rFonts w:ascii="Calibri" w:eastAsia="Times New Roman" w:hAnsi="Calibri" w:cs="Calibri"/>
          <w:color w:val="000000"/>
          <w:sz w:val="24"/>
          <w:szCs w:val="24"/>
        </w:rPr>
        <w:t>documented  writing</w:t>
      </w:r>
      <w:proofErr w:type="gramEnd"/>
      <w:r w:rsidRPr="006E342E">
        <w:rPr>
          <w:rFonts w:ascii="Calibri" w:eastAsia="Times New Roman" w:hAnsi="Calibri" w:cs="Calibri"/>
          <w:color w:val="000000"/>
          <w:sz w:val="24"/>
          <w:szCs w:val="24"/>
        </w:rPr>
        <w:t>, outward facing, and available to all parties involved.</w:t>
      </w:r>
    </w:p>
    <w:p w:rsidR="008E62E1" w:rsidRPr="006E342E" w:rsidRDefault="008E62E1" w:rsidP="006E342E">
      <w:pPr>
        <w:pStyle w:val="ListParagraph"/>
        <w:numPr>
          <w:ilvl w:val="3"/>
          <w:numId w:val="5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Fairness and objectivity</w:t>
      </w:r>
    </w:p>
    <w:p w:rsidR="006E342E" w:rsidRDefault="008E62E1" w:rsidP="006E342E">
      <w:pPr>
        <w:pStyle w:val="ListParagraph"/>
        <w:numPr>
          <w:ilvl w:val="2"/>
          <w:numId w:val="23"/>
        </w:numPr>
        <w:tabs>
          <w:tab w:val="clear" w:pos="2160"/>
          <w:tab w:val="num" w:pos="180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Decisions are based on the information provided by the ELP, the Office of Child Care, and the consensus of the review panel.</w:t>
      </w:r>
    </w:p>
    <w:p w:rsidR="008E62E1" w:rsidRPr="006E342E" w:rsidRDefault="008E62E1" w:rsidP="006E342E">
      <w:pPr>
        <w:pStyle w:val="ListParagraph"/>
        <w:numPr>
          <w:ilvl w:val="2"/>
          <w:numId w:val="23"/>
        </w:numPr>
        <w:tabs>
          <w:tab w:val="clear" w:pos="2160"/>
          <w:tab w:val="num" w:pos="180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The decision is based on established criteria that is applied to all programs, including, but not limited to: </w:t>
      </w:r>
    </w:p>
    <w:p w:rsidR="008E62E1" w:rsidRPr="008E62E1" w:rsidRDefault="008E62E1" w:rsidP="006E342E">
      <w:pPr>
        <w:numPr>
          <w:ilvl w:val="3"/>
          <w:numId w:val="24"/>
        </w:numPr>
        <w:tabs>
          <w:tab w:val="clear" w:pos="2880"/>
          <w:tab w:val="num" w:pos="2520"/>
        </w:tabs>
        <w:spacing w:after="0" w:line="240" w:lineRule="auto"/>
        <w:ind w:left="153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Demonstrated understanding of the violation and the underlying causes for it</w:t>
      </w:r>
    </w:p>
    <w:p w:rsidR="008E62E1" w:rsidRPr="008E62E1" w:rsidRDefault="008E62E1" w:rsidP="006E342E">
      <w:pPr>
        <w:numPr>
          <w:ilvl w:val="3"/>
          <w:numId w:val="24"/>
        </w:numPr>
        <w:tabs>
          <w:tab w:val="clear" w:pos="2880"/>
          <w:tab w:val="num" w:pos="2520"/>
        </w:tabs>
        <w:spacing w:after="0" w:line="240" w:lineRule="auto"/>
        <w:ind w:left="153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Ability/willingness to develop and implement a CQI plan, accept revisions or additions to the plan made by the review committee and utilize available technical assistance</w:t>
      </w:r>
    </w:p>
    <w:p w:rsidR="008E62E1" w:rsidRPr="008E62E1" w:rsidRDefault="008E62E1" w:rsidP="006E342E">
      <w:pPr>
        <w:numPr>
          <w:ilvl w:val="3"/>
          <w:numId w:val="24"/>
        </w:numPr>
        <w:tabs>
          <w:tab w:val="clear" w:pos="2880"/>
          <w:tab w:val="num" w:pos="2520"/>
        </w:tabs>
        <w:spacing w:after="0" w:line="240" w:lineRule="auto"/>
        <w:ind w:left="153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Efficacy of CQI plan</w:t>
      </w:r>
    </w:p>
    <w:p w:rsidR="008E62E1" w:rsidRPr="008E62E1" w:rsidRDefault="008E62E1" w:rsidP="006E342E">
      <w:pPr>
        <w:numPr>
          <w:ilvl w:val="3"/>
          <w:numId w:val="24"/>
        </w:numPr>
        <w:tabs>
          <w:tab w:val="clear" w:pos="2880"/>
          <w:tab w:val="num" w:pos="2520"/>
        </w:tabs>
        <w:spacing w:after="0" w:line="240" w:lineRule="auto"/>
        <w:ind w:left="153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 xml:space="preserve">Level of harm or risk of harm to a </w:t>
      </w:r>
      <w:proofErr w:type="gramStart"/>
      <w:r w:rsidRPr="008E62E1">
        <w:rPr>
          <w:rFonts w:ascii="Calibri" w:eastAsia="Times New Roman" w:hAnsi="Calibri" w:cs="Calibri"/>
          <w:color w:val="000000"/>
          <w:sz w:val="24"/>
          <w:szCs w:val="24"/>
        </w:rPr>
        <w:t>child/children</w:t>
      </w:r>
      <w:proofErr w:type="gramEnd"/>
    </w:p>
    <w:p w:rsidR="008E62E1" w:rsidRPr="009B3E36" w:rsidRDefault="009B3E36" w:rsidP="009B3E36">
      <w:pPr>
        <w:spacing w:after="0" w:line="240" w:lineRule="auto"/>
        <w:ind w:left="108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3.  </w:t>
      </w:r>
      <w:r w:rsidR="008E62E1" w:rsidRPr="009B3E36">
        <w:rPr>
          <w:rFonts w:ascii="Calibri" w:eastAsia="Times New Roman" w:hAnsi="Calibri" w:cs="Calibri"/>
          <w:color w:val="000000"/>
          <w:sz w:val="24"/>
          <w:szCs w:val="24"/>
        </w:rPr>
        <w:t>The review panel is comprised of representation from TRI, ELD, and additional persons identified by ELD, as needed</w:t>
      </w:r>
    </w:p>
    <w:p w:rsidR="008E62E1" w:rsidRPr="009B3E36" w:rsidRDefault="009B3E36" w:rsidP="009B3E36">
      <w:pPr>
        <w:spacing w:after="0" w:line="240" w:lineRule="auto"/>
        <w:ind w:left="108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4.  </w:t>
      </w:r>
      <w:r w:rsidR="008E62E1" w:rsidRPr="009B3E36">
        <w:rPr>
          <w:rFonts w:ascii="Calibri" w:eastAsia="Times New Roman" w:hAnsi="Calibri" w:cs="Calibri"/>
          <w:color w:val="000000"/>
          <w:sz w:val="24"/>
          <w:szCs w:val="24"/>
        </w:rPr>
        <w:t>At least one person on the review panel will speak the primary language of the early educator involved.</w:t>
      </w:r>
    </w:p>
    <w:p w:rsidR="008E62E1" w:rsidRDefault="009B3E36" w:rsidP="009B3E36">
      <w:pPr>
        <w:spacing w:after="0" w:line="240" w:lineRule="auto"/>
        <w:ind w:left="108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5.  </w:t>
      </w:r>
      <w:r w:rsidR="008E62E1" w:rsidRPr="009B3E36">
        <w:rPr>
          <w:rFonts w:ascii="Calibri" w:eastAsia="Times New Roman" w:hAnsi="Calibri" w:cs="Calibri"/>
          <w:color w:val="000000"/>
          <w:sz w:val="24"/>
          <w:szCs w:val="24"/>
        </w:rPr>
        <w:t>To avoid potential conflict of interests and disruption of the relationship, the QIS involved in a support role for the ELP will not be part of the final decision process.</w:t>
      </w:r>
    </w:p>
    <w:p w:rsidR="009B3E36" w:rsidRPr="009B3E36" w:rsidRDefault="009B3E36" w:rsidP="009B3E36">
      <w:pPr>
        <w:spacing w:after="0" w:line="240" w:lineRule="auto"/>
        <w:ind w:left="108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8E62E1" w:rsidRPr="006E342E" w:rsidRDefault="008E62E1" w:rsidP="009B3E36">
      <w:pPr>
        <w:pStyle w:val="ListParagraph"/>
        <w:numPr>
          <w:ilvl w:val="3"/>
          <w:numId w:val="5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342E">
        <w:rPr>
          <w:rFonts w:ascii="Calibri" w:eastAsia="Times New Roman" w:hAnsi="Calibri" w:cs="Calibri"/>
          <w:color w:val="000000"/>
          <w:sz w:val="24"/>
          <w:szCs w:val="24"/>
        </w:rPr>
        <w:t>Accessibility</w:t>
      </w:r>
    </w:p>
    <w:p w:rsidR="008E62E1" w:rsidRPr="009B3E36" w:rsidRDefault="008E62E1" w:rsidP="009B3E36">
      <w:pPr>
        <w:pStyle w:val="ListParagraph"/>
        <w:numPr>
          <w:ilvl w:val="1"/>
          <w:numId w:val="15"/>
        </w:numPr>
        <w:spacing w:after="0" w:line="240" w:lineRule="auto"/>
        <w:ind w:left="1080" w:hanging="1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9B3E36">
        <w:rPr>
          <w:rFonts w:ascii="Calibri" w:eastAsia="Times New Roman" w:hAnsi="Calibri" w:cs="Calibri"/>
          <w:color w:val="000000"/>
          <w:sz w:val="24"/>
          <w:szCs w:val="24"/>
        </w:rPr>
        <w:t>The process will be accessible to all participants in their preferred language. This includes:</w:t>
      </w:r>
    </w:p>
    <w:p w:rsidR="008E62E1" w:rsidRPr="008E62E1" w:rsidRDefault="008E62E1" w:rsidP="009B3E36">
      <w:pPr>
        <w:numPr>
          <w:ilvl w:val="2"/>
          <w:numId w:val="26"/>
        </w:numPr>
        <w:tabs>
          <w:tab w:val="clear" w:pos="2160"/>
        </w:tabs>
        <w:spacing w:after="0" w:line="240" w:lineRule="auto"/>
        <w:ind w:left="144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Spark Rating Maintenance Application and any supporting documents</w:t>
      </w:r>
    </w:p>
    <w:p w:rsidR="008E62E1" w:rsidRPr="008E62E1" w:rsidRDefault="008E62E1" w:rsidP="009B3E36">
      <w:pPr>
        <w:numPr>
          <w:ilvl w:val="2"/>
          <w:numId w:val="26"/>
        </w:numPr>
        <w:tabs>
          <w:tab w:val="clear" w:pos="2160"/>
        </w:tabs>
        <w:spacing w:after="0" w:line="240" w:lineRule="auto"/>
        <w:ind w:left="144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One review panel member who speaks the primary language of the early educator</w:t>
      </w:r>
    </w:p>
    <w:p w:rsidR="008E62E1" w:rsidRPr="008E62E1" w:rsidRDefault="008E62E1" w:rsidP="009B3E36">
      <w:pPr>
        <w:numPr>
          <w:ilvl w:val="2"/>
          <w:numId w:val="26"/>
        </w:numPr>
        <w:tabs>
          <w:tab w:val="clear" w:pos="2160"/>
        </w:tabs>
        <w:spacing w:after="0" w:line="240" w:lineRule="auto"/>
        <w:ind w:left="144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When applicable, a QIS from the ELPs local CCRR agency who speaks the primary language of the early educator</w:t>
      </w:r>
    </w:p>
    <w:p w:rsidR="008E62E1" w:rsidRPr="009B3E36" w:rsidRDefault="008E62E1" w:rsidP="009B3E36">
      <w:pPr>
        <w:pStyle w:val="ListParagraph"/>
        <w:numPr>
          <w:ilvl w:val="1"/>
          <w:numId w:val="15"/>
        </w:numPr>
        <w:spacing w:after="0" w:line="240" w:lineRule="auto"/>
        <w:ind w:left="1170" w:hanging="27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9B3E36">
        <w:rPr>
          <w:rFonts w:ascii="Calibri" w:eastAsia="Times New Roman" w:hAnsi="Calibri" w:cs="Calibri"/>
          <w:color w:val="000000"/>
          <w:sz w:val="24"/>
          <w:szCs w:val="24"/>
        </w:rPr>
        <w:t>The process includes the availability of support from a QIS to complete documents and answer questions.</w:t>
      </w:r>
    </w:p>
    <w:p w:rsidR="008E62E1" w:rsidRPr="008E62E1" w:rsidRDefault="008E62E1" w:rsidP="009B3E36">
      <w:pPr>
        <w:numPr>
          <w:ilvl w:val="1"/>
          <w:numId w:val="15"/>
        </w:numPr>
        <w:spacing w:after="0" w:line="240" w:lineRule="auto"/>
        <w:ind w:left="1170" w:hanging="27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TRI staff is available to answer procedural questions in the primary language of the early educator.</w:t>
      </w:r>
    </w:p>
    <w:p w:rsidR="008E62E1" w:rsidRPr="008E62E1" w:rsidRDefault="008E62E1" w:rsidP="008E62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62E1" w:rsidRPr="009B3E36" w:rsidRDefault="008E62E1" w:rsidP="009B3E36">
      <w:pPr>
        <w:pStyle w:val="ListParagraph"/>
        <w:numPr>
          <w:ilvl w:val="3"/>
          <w:numId w:val="5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9B3E36">
        <w:rPr>
          <w:rFonts w:ascii="Calibri" w:eastAsia="Times New Roman" w:hAnsi="Calibri" w:cs="Calibri"/>
          <w:color w:val="000000"/>
          <w:sz w:val="24"/>
          <w:szCs w:val="24"/>
        </w:rPr>
        <w:t>Accountability</w:t>
      </w:r>
    </w:p>
    <w:p w:rsidR="008E62E1" w:rsidRPr="008E62E1" w:rsidRDefault="008E62E1" w:rsidP="009B3E36">
      <w:pPr>
        <w:numPr>
          <w:ilvl w:val="1"/>
          <w:numId w:val="27"/>
        </w:numPr>
        <w:tabs>
          <w:tab w:val="clear" w:pos="144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The responsibilities of all parties (ELP, Office of Child Care, TRI/Spark administrators, and CCRR) are clear, in writing and adhered to. </w:t>
      </w:r>
    </w:p>
    <w:p w:rsidR="008E62E1" w:rsidRPr="008E62E1" w:rsidRDefault="008E62E1" w:rsidP="009B3E36">
      <w:pPr>
        <w:numPr>
          <w:ilvl w:val="1"/>
          <w:numId w:val="27"/>
        </w:numPr>
        <w:tabs>
          <w:tab w:val="clear" w:pos="144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Established timelines/deadlines are adhered to.</w:t>
      </w:r>
    </w:p>
    <w:p w:rsidR="008E62E1" w:rsidRPr="008E62E1" w:rsidRDefault="008E62E1" w:rsidP="009B3E36">
      <w:pPr>
        <w:numPr>
          <w:ilvl w:val="1"/>
          <w:numId w:val="27"/>
        </w:numPr>
        <w:tabs>
          <w:tab w:val="clear" w:pos="1440"/>
        </w:tabs>
        <w:spacing w:after="0"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>The process is documented, and this documentation is available to all parties involved. Documents are maintained electronically, indefinitely.</w:t>
      </w:r>
    </w:p>
    <w:p w:rsidR="008E62E1" w:rsidRPr="008E62E1" w:rsidRDefault="008E62E1" w:rsidP="009B3E36">
      <w:pPr>
        <w:numPr>
          <w:ilvl w:val="1"/>
          <w:numId w:val="27"/>
        </w:numPr>
        <w:tabs>
          <w:tab w:val="clear" w:pos="1440"/>
        </w:tabs>
        <w:spacing w:line="240" w:lineRule="auto"/>
        <w:ind w:left="108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8E62E1">
        <w:rPr>
          <w:rFonts w:ascii="Calibri" w:eastAsia="Times New Roman" w:hAnsi="Calibri" w:cs="Calibri"/>
          <w:color w:val="000000"/>
          <w:sz w:val="24"/>
          <w:szCs w:val="24"/>
        </w:rPr>
        <w:t xml:space="preserve">The process includes the ELP’s right to appeal to ELD, with that decision being final. </w:t>
      </w:r>
    </w:p>
    <w:p w:rsidR="00FA4D34" w:rsidRDefault="009B3E36"/>
    <w:sectPr w:rsidR="00FA4D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E36" w:rsidRDefault="009B3E36" w:rsidP="009B3E36">
      <w:pPr>
        <w:spacing w:after="0" w:line="240" w:lineRule="auto"/>
      </w:pPr>
      <w:r>
        <w:separator/>
      </w:r>
    </w:p>
  </w:endnote>
  <w:endnote w:type="continuationSeparator" w:id="0">
    <w:p w:rsidR="009B3E36" w:rsidRDefault="009B3E36" w:rsidP="009B3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Default="009B3E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Pr="009B3E36" w:rsidRDefault="009B3E36" w:rsidP="009B3E36">
    <w:pPr>
      <w:pStyle w:val="Footer"/>
    </w:pPr>
    <w:fldSimple w:instr=" FILENAME  \p  \* MERGEFORMAT ">
      <w:r>
        <w:rPr>
          <w:noProof/>
        </w:rPr>
        <w:t>I:\Train\Spark\Spark Rating Maintenance\Spark Rating Review\Final Docs\FINAL Principles and Procedures.docx</w:t>
      </w:r>
    </w:fldSimple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Default="009B3E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E36" w:rsidRDefault="009B3E36" w:rsidP="009B3E36">
      <w:pPr>
        <w:spacing w:after="0" w:line="240" w:lineRule="auto"/>
      </w:pPr>
      <w:r>
        <w:separator/>
      </w:r>
    </w:p>
  </w:footnote>
  <w:footnote w:type="continuationSeparator" w:id="0">
    <w:p w:rsidR="009B3E36" w:rsidRDefault="009B3E36" w:rsidP="009B3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Default="009B3E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Default="009B3E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E36" w:rsidRDefault="009B3E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563D"/>
    <w:multiLevelType w:val="hybridMultilevel"/>
    <w:tmpl w:val="B07E6D1C"/>
    <w:lvl w:ilvl="0" w:tplc="3536E4F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49C2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CAE8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BA98D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20267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7A1A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1E10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FA92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CAED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23822"/>
    <w:multiLevelType w:val="hybridMultilevel"/>
    <w:tmpl w:val="762C0DAA"/>
    <w:lvl w:ilvl="0" w:tplc="291EE24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4E1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950B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E33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E71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FA1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26E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9297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61C8"/>
    <w:multiLevelType w:val="hybridMultilevel"/>
    <w:tmpl w:val="277662DE"/>
    <w:lvl w:ilvl="0" w:tplc="BE240A2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4707C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2EC9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926BE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EC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E282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03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04C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18E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110A0"/>
    <w:multiLevelType w:val="multilevel"/>
    <w:tmpl w:val="DE389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9F4421"/>
    <w:multiLevelType w:val="multilevel"/>
    <w:tmpl w:val="3D8A59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96DFA"/>
    <w:multiLevelType w:val="hybridMultilevel"/>
    <w:tmpl w:val="20326FA6"/>
    <w:lvl w:ilvl="0" w:tplc="0A0EF8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44578"/>
    <w:multiLevelType w:val="hybridMultilevel"/>
    <w:tmpl w:val="A0708D3E"/>
    <w:lvl w:ilvl="0" w:tplc="B6521B3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52EC9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B447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AEF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6D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6E74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ECC7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10D8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A2B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A578F3"/>
    <w:multiLevelType w:val="hybridMultilevel"/>
    <w:tmpl w:val="9F2E1BA2"/>
    <w:lvl w:ilvl="0" w:tplc="91A4C4B2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F6DBC"/>
    <w:multiLevelType w:val="hybridMultilevel"/>
    <w:tmpl w:val="446A0F52"/>
    <w:lvl w:ilvl="0" w:tplc="567E8C9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2BCCB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C5C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16"/>
        <w:szCs w:val="20"/>
      </w:rPr>
    </w:lvl>
    <w:lvl w:ilvl="3" w:tplc="D728A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2CD0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7E3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F41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F04B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3275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C37D51"/>
    <w:multiLevelType w:val="hybridMultilevel"/>
    <w:tmpl w:val="DE8C3252"/>
    <w:lvl w:ilvl="0" w:tplc="BE240A2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4707C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F4F4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26BE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EC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E282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03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04C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18E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4E627C"/>
    <w:multiLevelType w:val="hybridMultilevel"/>
    <w:tmpl w:val="C93CA926"/>
    <w:lvl w:ilvl="0" w:tplc="BE240A2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4707C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F4F4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EEEC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E282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03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04C2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18E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DB3120"/>
    <w:multiLevelType w:val="hybridMultilevel"/>
    <w:tmpl w:val="9C36547A"/>
    <w:lvl w:ilvl="0" w:tplc="448AD0D6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40A689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3ED2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3669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BC9B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C892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2466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2CE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50F0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7D7D9E"/>
    <w:multiLevelType w:val="hybridMultilevel"/>
    <w:tmpl w:val="C19E639C"/>
    <w:lvl w:ilvl="0" w:tplc="291EE24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4E1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E0E8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50B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E33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E71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FA1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26E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9297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E74584"/>
    <w:multiLevelType w:val="hybridMultilevel"/>
    <w:tmpl w:val="3CF025F0"/>
    <w:lvl w:ilvl="0" w:tplc="B6521B3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CE288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47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AEF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6D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6E74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ECC7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10D8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A2B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0C51E4"/>
    <w:multiLevelType w:val="hybridMultilevel"/>
    <w:tmpl w:val="B3264DEE"/>
    <w:lvl w:ilvl="0" w:tplc="D52EC9E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26B50"/>
    <w:multiLevelType w:val="hybridMultilevel"/>
    <w:tmpl w:val="59B03038"/>
    <w:lvl w:ilvl="0" w:tplc="567E8C9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2BCCB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D855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28A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2CD0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7E3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F41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F04B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3275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CE6159"/>
    <w:multiLevelType w:val="hybridMultilevel"/>
    <w:tmpl w:val="387AF3FC"/>
    <w:lvl w:ilvl="0" w:tplc="567E8C9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2BCCB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ACC1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2"/>
        <w:szCs w:val="20"/>
      </w:rPr>
    </w:lvl>
    <w:lvl w:ilvl="3" w:tplc="9A94AFE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D82CD0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7E3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F41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F04B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3275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lowerLetter"/>
        <w:lvlText w:val="%1."/>
        <w:lvlJc w:val="left"/>
      </w:lvl>
    </w:lvlOverride>
  </w:num>
  <w:num w:numId="2">
    <w:abstractNumId w:val="15"/>
  </w:num>
  <w:num w:numId="3">
    <w:abstractNumId w:val="15"/>
    <w:lvlOverride w:ilvl="0">
      <w:lvl w:ilvl="0" w:tplc="567E8C9E">
        <w:start w:val="1"/>
        <w:numFmt w:val="upperLetter"/>
        <w:lvlText w:val="%1."/>
        <w:lvlJc w:val="left"/>
        <w:pPr>
          <w:ind w:left="1080" w:hanging="360"/>
        </w:pPr>
      </w:lvl>
    </w:lvlOverride>
    <w:lvlOverride w:ilvl="1">
      <w:lvl w:ilvl="1" w:tplc="F2BCCBD2">
        <w:start w:val="1"/>
        <w:numFmt w:val="lowerLetter"/>
        <w:lvlText w:val="%2."/>
        <w:lvlJc w:val="left"/>
        <w:pPr>
          <w:ind w:left="1800" w:hanging="360"/>
        </w:pPr>
      </w:lvl>
    </w:lvlOverride>
    <w:lvlOverride w:ilvl="2">
      <w:lvl w:ilvl="2" w:tplc="E3D85596" w:tentative="1">
        <w:start w:val="1"/>
        <w:numFmt w:val="lowerRoman"/>
        <w:lvlText w:val="%3."/>
        <w:lvlJc w:val="right"/>
        <w:pPr>
          <w:ind w:left="2520" w:hanging="180"/>
        </w:pPr>
      </w:lvl>
    </w:lvlOverride>
    <w:lvlOverride w:ilvl="3">
      <w:lvl w:ilvl="3" w:tplc="D728A38C" w:tentative="1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D82CD00C" w:tentative="1">
        <w:start w:val="1"/>
        <w:numFmt w:val="lowerLetter"/>
        <w:lvlText w:val="%5."/>
        <w:lvlJc w:val="left"/>
        <w:pPr>
          <w:ind w:left="3960" w:hanging="360"/>
        </w:pPr>
      </w:lvl>
    </w:lvlOverride>
    <w:lvlOverride w:ilvl="5">
      <w:lvl w:ilvl="5" w:tplc="087E3806" w:tentative="1">
        <w:start w:val="1"/>
        <w:numFmt w:val="lowerRoman"/>
        <w:lvlText w:val="%6."/>
        <w:lvlJc w:val="right"/>
        <w:pPr>
          <w:ind w:left="4680" w:hanging="180"/>
        </w:pPr>
      </w:lvl>
    </w:lvlOverride>
    <w:lvlOverride w:ilvl="6">
      <w:lvl w:ilvl="6" w:tplc="C1F41E38" w:tentative="1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8FF04B96" w:tentative="1">
        <w:start w:val="1"/>
        <w:numFmt w:val="lowerLetter"/>
        <w:lvlText w:val="%8."/>
        <w:lvlJc w:val="left"/>
        <w:pPr>
          <w:ind w:left="6120" w:hanging="360"/>
        </w:pPr>
      </w:lvl>
    </w:lvlOverride>
    <w:lvlOverride w:ilvl="8">
      <w:lvl w:ilvl="8" w:tplc="153275F0" w:tentative="1">
        <w:start w:val="1"/>
        <w:numFmt w:val="lowerRoman"/>
        <w:lvlText w:val="%9."/>
        <w:lvlJc w:val="right"/>
        <w:pPr>
          <w:ind w:left="6840" w:hanging="180"/>
        </w:pPr>
      </w:lvl>
    </w:lvlOverride>
  </w:num>
  <w:num w:numId="4">
    <w:abstractNumId w:val="15"/>
    <w:lvlOverride w:ilvl="1">
      <w:lvl w:ilvl="1" w:tplc="F2BCCBD2">
        <w:numFmt w:val="lowerLetter"/>
        <w:lvlText w:val="%2."/>
        <w:lvlJc w:val="left"/>
      </w:lvl>
    </w:lvlOverride>
    <w:lvlOverride w:ilvl="2">
      <w:lvl w:ilvl="2" w:tplc="E3D85596">
        <w:numFmt w:val="lowerRoman"/>
        <w:lvlText w:val="%3."/>
        <w:lvlJc w:val="right"/>
      </w:lvl>
    </w:lvlOverride>
  </w:num>
  <w:num w:numId="5">
    <w:abstractNumId w:val="0"/>
  </w:num>
  <w:num w:numId="6">
    <w:abstractNumId w:val="0"/>
    <w:lvlOverride w:ilvl="1">
      <w:lvl w:ilvl="1" w:tplc="149C246C">
        <w:numFmt w:val="lowerLetter"/>
        <w:lvlText w:val="%2."/>
        <w:lvlJc w:val="left"/>
      </w:lvl>
    </w:lvlOverride>
  </w:num>
  <w:num w:numId="7">
    <w:abstractNumId w:val="0"/>
    <w:lvlOverride w:ilvl="1">
      <w:lvl w:ilvl="1" w:tplc="149C246C">
        <w:numFmt w:val="lowerLetter"/>
        <w:lvlText w:val="%2."/>
        <w:lvlJc w:val="left"/>
      </w:lvl>
    </w:lvlOverride>
    <w:lvlOverride w:ilvl="2">
      <w:lvl w:ilvl="2" w:tplc="BECAE87A">
        <w:numFmt w:val="lowerRoman"/>
        <w:lvlText w:val="%3."/>
        <w:lvlJc w:val="right"/>
      </w:lvl>
    </w:lvlOverride>
  </w:num>
  <w:num w:numId="8">
    <w:abstractNumId w:val="0"/>
    <w:lvlOverride w:ilvl="1">
      <w:lvl w:ilvl="1" w:tplc="149C246C">
        <w:numFmt w:val="lowerLetter"/>
        <w:lvlText w:val="%2."/>
        <w:lvlJc w:val="left"/>
      </w:lvl>
    </w:lvlOverride>
    <w:lvlOverride w:ilvl="2">
      <w:lvl w:ilvl="2" w:tplc="BECAE87A">
        <w:numFmt w:val="lowerRoman"/>
        <w:lvlText w:val="%3."/>
        <w:lvlJc w:val="right"/>
      </w:lvl>
    </w:lvlOverride>
  </w:num>
  <w:num w:numId="9">
    <w:abstractNumId w:val="9"/>
  </w:num>
  <w:num w:numId="10">
    <w:abstractNumId w:val="9"/>
    <w:lvlOverride w:ilvl="1">
      <w:lvl w:ilvl="1" w:tplc="D4707C9E">
        <w:numFmt w:val="lowerLetter"/>
        <w:lvlText w:val="%2."/>
        <w:lvlJc w:val="left"/>
      </w:lvl>
    </w:lvlOverride>
  </w:num>
  <w:num w:numId="11">
    <w:abstractNumId w:val="9"/>
    <w:lvlOverride w:ilvl="1">
      <w:lvl w:ilvl="1" w:tplc="D4707C9E">
        <w:numFmt w:val="lowerLetter"/>
        <w:lvlText w:val="%2."/>
        <w:lvlJc w:val="left"/>
      </w:lvl>
    </w:lvlOverride>
    <w:lvlOverride w:ilvl="2">
      <w:lvl w:ilvl="2" w:tplc="45F4F448">
        <w:numFmt w:val="lowerRoman"/>
        <w:lvlText w:val="%3."/>
        <w:lvlJc w:val="right"/>
      </w:lvl>
    </w:lvlOverride>
  </w:num>
  <w:num w:numId="12">
    <w:abstractNumId w:val="9"/>
    <w:lvlOverride w:ilvl="1">
      <w:lvl w:ilvl="1" w:tplc="D4707C9E">
        <w:numFmt w:val="lowerLetter"/>
        <w:lvlText w:val="%2."/>
        <w:lvlJc w:val="left"/>
      </w:lvl>
    </w:lvlOverride>
    <w:lvlOverride w:ilvl="2">
      <w:lvl w:ilvl="2" w:tplc="45F4F448">
        <w:numFmt w:val="lowerRoman"/>
        <w:lvlText w:val="%3."/>
        <w:lvlJc w:val="right"/>
      </w:lvl>
    </w:lvlOverride>
  </w:num>
  <w:num w:numId="13">
    <w:abstractNumId w:val="11"/>
  </w:num>
  <w:num w:numId="14">
    <w:abstractNumId w:val="12"/>
  </w:num>
  <w:num w:numId="15">
    <w:abstractNumId w:val="12"/>
    <w:lvlOverride w:ilvl="1">
      <w:lvl w:ilvl="1" w:tplc="DE4E186A">
        <w:start w:val="1"/>
        <w:numFmt w:val="decimal"/>
        <w:lvlText w:val="%2."/>
        <w:lvlJc w:val="right"/>
        <w:rPr>
          <w:rFonts w:ascii="Calibri" w:eastAsia="Times New Roman" w:hAnsi="Calibri" w:cs="Calibri"/>
        </w:rPr>
      </w:lvl>
    </w:lvlOverride>
  </w:num>
  <w:num w:numId="16">
    <w:abstractNumId w:val="13"/>
  </w:num>
  <w:num w:numId="17">
    <w:abstractNumId w:val="13"/>
    <w:lvlOverride w:ilvl="1">
      <w:lvl w:ilvl="1" w:tplc="6CE28892">
        <w:numFmt w:val="lowerRoman"/>
        <w:lvlText w:val="%2."/>
        <w:lvlJc w:val="right"/>
      </w:lvl>
    </w:lvlOverride>
  </w:num>
  <w:num w:numId="18">
    <w:abstractNumId w:val="4"/>
  </w:num>
  <w:num w:numId="19">
    <w:abstractNumId w:val="5"/>
  </w:num>
  <w:num w:numId="20">
    <w:abstractNumId w:val="8"/>
  </w:num>
  <w:num w:numId="21">
    <w:abstractNumId w:val="16"/>
  </w:num>
  <w:num w:numId="22">
    <w:abstractNumId w:val="14"/>
  </w:num>
  <w:num w:numId="23">
    <w:abstractNumId w:val="2"/>
  </w:num>
  <w:num w:numId="24">
    <w:abstractNumId w:val="10"/>
  </w:num>
  <w:num w:numId="25">
    <w:abstractNumId w:val="7"/>
  </w:num>
  <w:num w:numId="26">
    <w:abstractNumId w:val="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E1"/>
    <w:rsid w:val="003E3D21"/>
    <w:rsid w:val="00675F16"/>
    <w:rsid w:val="006E342E"/>
    <w:rsid w:val="00895D48"/>
    <w:rsid w:val="008E62E1"/>
    <w:rsid w:val="009B3E36"/>
    <w:rsid w:val="00B2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7405"/>
  <w15:chartTrackingRefBased/>
  <w15:docId w15:val="{1968CBEB-422D-4CFA-920C-9735CFC9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75F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3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E36"/>
  </w:style>
  <w:style w:type="paragraph" w:styleId="Footer">
    <w:name w:val="footer"/>
    <w:basedOn w:val="Normal"/>
    <w:link w:val="FooterChar"/>
    <w:uiPriority w:val="99"/>
    <w:unhideWhenUsed/>
    <w:rsid w:val="009B3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8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Debra Gouger</cp:lastModifiedBy>
  <cp:revision>3</cp:revision>
  <dcterms:created xsi:type="dcterms:W3CDTF">2021-11-29T21:05:00Z</dcterms:created>
  <dcterms:modified xsi:type="dcterms:W3CDTF">2021-12-20T20:24:00Z</dcterms:modified>
</cp:coreProperties>
</file>